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国家“万人计划”教学名师（高等学校）遴选指标体系</w:t>
      </w:r>
    </w:p>
    <w:p>
      <w:pPr>
        <w:spacing w:line="480" w:lineRule="exact"/>
        <w:jc w:val="center"/>
        <w:rPr>
          <w:rFonts w:ascii="方正仿宋简体" w:eastAsia="方正仿宋简体"/>
          <w:b/>
          <w:bCs/>
        </w:rPr>
      </w:pPr>
      <w:r>
        <w:rPr>
          <w:rFonts w:hint="eastAsia" w:ascii="方正仿宋简体" w:eastAsia="方正仿宋简体" w:cs="方正仿宋简体"/>
          <w:b/>
          <w:bCs/>
          <w:sz w:val="30"/>
          <w:szCs w:val="30"/>
        </w:rPr>
        <w:t>（高等职业学校）</w:t>
      </w:r>
    </w:p>
    <w:tbl>
      <w:tblPr>
        <w:tblStyle w:val="3"/>
        <w:tblW w:w="9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51"/>
        <w:gridCol w:w="709"/>
        <w:gridCol w:w="6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exact"/>
          <w:jc w:val="center"/>
        </w:trPr>
        <w:tc>
          <w:tcPr>
            <w:tcW w:w="177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评选项目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分值</w:t>
            </w:r>
          </w:p>
        </w:tc>
        <w:tc>
          <w:tcPr>
            <w:tcW w:w="6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遴选内容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1.师德风范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忠诚于党和人民的教育事业，全面贯彻党的教育方针，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，以德立身、以德立学、以德立教，为人师表、师德高尚，在教育领域和全社会享有较高声望，师生群众公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2.企业经历与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行业影响力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累计具有企业（单位）相关技术（或管理）岗位3年以上工作经历，拥有至少一项中级（国家职业资格四级）以上有效职业资格；近3年一直在企业（或行业协会、单位、机构等）中兼任相关技术（或管理）职务，在行业企业的技术领域具有一定影响力，且取得了行业企业公认的实质性工作成果或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2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能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力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水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</w:t>
            </w:r>
          </w:p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效果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效果好，学生评价高。注重分析学生群体及个体特点，因材施教促进学生个性化发展；以身作则，潜移默化培养学生的职业道德和职业精神；关心学生成长，引导学生着眼未来，学以致用；课堂教学灵活多样，能自由驾驭课堂教学，学生学习积极性高；有效利用信息技术和现代教育技术，改变学习形态，教学效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1277" w:hRule="atLeast"/>
          <w:jc w:val="center"/>
        </w:trPr>
        <w:tc>
          <w:tcPr>
            <w:tcW w:w="9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</w:t>
            </w:r>
          </w:p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研究能力强，有独到见解。借鉴先进职业教育理念和经验，结合实际，研究高等职业教育教学特点与规律；发挥行业影响力优势，跟踪产业发展趋势和行业动态，研究校企合作人才培养有成效；重视研究成果共享与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9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资源</w:t>
            </w:r>
          </w:p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资源整合能力强，效果好。有效整合社会资源，推进校企合作育人落到实处，资源利用率高；开发各种高职数字化专业教学资源，并为行业企业和其他高职院校所共享，建设水平高，社会广泛认可。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9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</w:t>
            </w:r>
          </w:p>
          <w:p>
            <w:pPr>
              <w:snapToGrid w:val="0"/>
              <w:spacing w:line="32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教学实施规范有效，能按照有关教学文件要求规范实施教学；勇于探索，敢于创新，实现了工学结合课程教学有效组织和管理；利用信息技术改革学生学业评价方式，成效显著。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4.社会服务能力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kern w:val="13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面向行业企业实际需求，开展相关生产、技术和培训服务，效果良好，服务收益高；独立或与行业企业合作开展技术应用性研究及应用推广。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5.教学团队建设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榜样作用明显，教学团队建设水平高。利用自身影响力，吸引行业企业一线技术骨干参与人才培养，兼职教师队伍水平高；指导专业教师参与教学实践和企业实践，提高青年教师执教能力；有良好的“传、帮、带”团队建设文化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56C7"/>
    <w:rsid w:val="0D1456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2017-03-08T08:44:00Z</dcterms:created>
  <dc:creator>Administrator</dc:creator>
  <cp:lastModifiedBy>Administrator</cp:lastModifiedBy>
  <dcterms:modified xsi:type="dcterms:W3CDTF">2017-03-08T08:46:25Z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